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D0E07" w:rsidRDefault="004D0E07">
      <w:pPr>
        <w:rPr>
          <w:b/>
          <w:sz w:val="36"/>
          <w:szCs w:val="36"/>
        </w:rPr>
      </w:pPr>
      <w:bookmarkStart w:id="0" w:name="_heading=h.gjdgxs" w:colFirst="0" w:colLast="0"/>
      <w:bookmarkEnd w:id="0"/>
    </w:p>
    <w:p w14:paraId="00000002" w14:textId="77777777" w:rsidR="004D0E07" w:rsidRDefault="00AF739A">
      <w:pPr>
        <w:jc w:val="center"/>
        <w:rPr>
          <w:b/>
          <w:color w:val="002060"/>
          <w:sz w:val="36"/>
          <w:szCs w:val="36"/>
        </w:rPr>
      </w:pPr>
      <w:r>
        <w:rPr>
          <w:b/>
          <w:color w:val="002060"/>
          <w:sz w:val="36"/>
          <w:szCs w:val="36"/>
        </w:rPr>
        <w:t>DOCUMENT DE MESSAGES CLÉS</w:t>
      </w:r>
    </w:p>
    <w:p w14:paraId="00000003" w14:textId="77777777" w:rsidR="004D0E07" w:rsidRDefault="004D0E07">
      <w:pPr>
        <w:jc w:val="center"/>
        <w:rPr>
          <w:b/>
          <w:sz w:val="28"/>
          <w:szCs w:val="28"/>
        </w:rPr>
      </w:pPr>
    </w:p>
    <w:p w14:paraId="00000004" w14:textId="77777777" w:rsidR="004D0E07" w:rsidRDefault="00AF739A">
      <w:pPr>
        <w:rPr>
          <w:b/>
          <w:smallCaps/>
          <w:color w:val="C00000"/>
          <w:sz w:val="24"/>
          <w:szCs w:val="24"/>
          <w:u w:val="single"/>
        </w:rPr>
      </w:pPr>
      <w:r>
        <w:rPr>
          <w:b/>
          <w:smallCaps/>
          <w:color w:val="C00000"/>
          <w:sz w:val="24"/>
          <w:szCs w:val="24"/>
          <w:u w:val="single"/>
        </w:rPr>
        <w:t>CONTEXTE</w:t>
      </w:r>
    </w:p>
    <w:p w14:paraId="00000005" w14:textId="77777777" w:rsidR="004D0E07" w:rsidRDefault="00AF739A">
      <w:pPr>
        <w:spacing w:after="0" w:line="240" w:lineRule="auto"/>
        <w:jc w:val="both"/>
      </w:pPr>
      <w:r>
        <w:t xml:space="preserve">BIBLIOPRESTO met à la disposition des bibliothèques publiques, des organismes et des municipalités du Québec et du Canada un document présentant sommairement les grands messages clés reliés au projet </w:t>
      </w:r>
      <w:proofErr w:type="spellStart"/>
      <w:r>
        <w:t>AlphaNumérique</w:t>
      </w:r>
      <w:proofErr w:type="spellEnd"/>
      <w:r>
        <w:t>. L’objectif de ce document est de fournir</w:t>
      </w:r>
      <w:r>
        <w:t xml:space="preserve"> aux intervenants de ces organisations les messages principaux à utiliser pour des entrevues avec des médias ou à travers différents outils promotionnels. </w:t>
      </w:r>
    </w:p>
    <w:p w14:paraId="00000006" w14:textId="77777777" w:rsidR="004D0E07" w:rsidRDefault="004D0E07">
      <w:pPr>
        <w:spacing w:after="0" w:line="240" w:lineRule="auto"/>
        <w:jc w:val="both"/>
      </w:pPr>
    </w:p>
    <w:p w14:paraId="00000007" w14:textId="77777777" w:rsidR="004D0E07" w:rsidRDefault="00AF739A">
      <w:pPr>
        <w:jc w:val="both"/>
      </w:pPr>
      <w:r>
        <w:t>Bien entendu, nous vous invitons à adapter les messages clés en fonction de votre région/municipali</w:t>
      </w:r>
      <w:r>
        <w:t xml:space="preserve">té et à mettre en valeur les différentes activités qui auront lieu à votre bibliothèque. </w:t>
      </w:r>
    </w:p>
    <w:p w14:paraId="00000008" w14:textId="77777777" w:rsidR="004D0E07" w:rsidRDefault="004D0E07">
      <w:pPr>
        <w:jc w:val="both"/>
      </w:pPr>
    </w:p>
    <w:p w14:paraId="00000009" w14:textId="77777777" w:rsidR="004D0E07" w:rsidRDefault="00AF739A">
      <w:pPr>
        <w:rPr>
          <w:b/>
          <w:smallCaps/>
          <w:color w:val="C00000"/>
          <w:sz w:val="24"/>
          <w:szCs w:val="24"/>
          <w:u w:val="single"/>
        </w:rPr>
      </w:pPr>
      <w:r>
        <w:rPr>
          <w:b/>
          <w:smallCaps/>
          <w:color w:val="C00000"/>
          <w:sz w:val="24"/>
          <w:szCs w:val="24"/>
          <w:u w:val="single"/>
        </w:rPr>
        <w:t>MESSAGES-CLÉS</w:t>
      </w:r>
    </w:p>
    <w:p w14:paraId="0000000A" w14:textId="77777777" w:rsidR="004D0E07" w:rsidRDefault="00AF739A">
      <w:pPr>
        <w:rPr>
          <w:b/>
          <w:smallCaps/>
          <w:color w:val="002060"/>
          <w:sz w:val="24"/>
          <w:szCs w:val="24"/>
          <w:u w:val="single"/>
        </w:rPr>
      </w:pPr>
      <w:r>
        <w:rPr>
          <w:b/>
          <w:smallCaps/>
          <w:color w:val="002060"/>
          <w:sz w:val="24"/>
          <w:szCs w:val="24"/>
          <w:u w:val="single"/>
        </w:rPr>
        <w:t>ALPHANUMÉRIQUE</w:t>
      </w:r>
    </w:p>
    <w:p w14:paraId="0000000B" w14:textId="77777777" w:rsidR="004D0E07" w:rsidRDefault="00AF739A">
      <w:pPr>
        <w:numPr>
          <w:ilvl w:val="0"/>
          <w:numId w:val="1"/>
        </w:numPr>
        <w:jc w:val="both"/>
      </w:pPr>
      <w:proofErr w:type="spellStart"/>
      <w:r>
        <w:t>AlphaNumérique</w:t>
      </w:r>
      <w:proofErr w:type="spellEnd"/>
      <w:r>
        <w:t xml:space="preserve"> est un projet </w:t>
      </w:r>
      <w:r>
        <w:rPr>
          <w:highlight w:val="yellow"/>
        </w:rPr>
        <w:t>de quatre ans</w:t>
      </w:r>
      <w:r>
        <w:t xml:space="preserve"> qui permettra de réduire les inégalités au sein de la population en enseignant les compétence</w:t>
      </w:r>
      <w:r>
        <w:t>s pratiques et critiques fondamentales pour naviguer dans notre société numérique.</w:t>
      </w:r>
    </w:p>
    <w:p w14:paraId="0000000C" w14:textId="77777777" w:rsidR="004D0E07" w:rsidRDefault="00AF739A">
      <w:pPr>
        <w:numPr>
          <w:ilvl w:val="0"/>
          <w:numId w:val="1"/>
        </w:numPr>
        <w:jc w:val="both"/>
      </w:pPr>
      <w:r>
        <w:t>La grande majorité des activités du projet seront réalisées au sein des bibliothèques du Québec. Des activités seront aussi planifiées par différents partenaires et organism</w:t>
      </w:r>
      <w:r>
        <w:t>es dans les communautés francophones du Canada, incluant le Québec.</w:t>
      </w:r>
    </w:p>
    <w:p w14:paraId="0000000D" w14:textId="77777777" w:rsidR="004D0E07" w:rsidRDefault="00AF739A">
      <w:pPr>
        <w:numPr>
          <w:ilvl w:val="0"/>
          <w:numId w:val="1"/>
        </w:numPr>
        <w:jc w:val="both"/>
      </w:pPr>
      <w:sdt>
        <w:sdtPr>
          <w:tag w:val="goog_rdk_0"/>
          <w:id w:val="-2003271679"/>
        </w:sdtPr>
        <w:sdtEndPr/>
        <w:sdtContent/>
      </w:sdt>
      <w:proofErr w:type="spellStart"/>
      <w:r>
        <w:t>AlphaNumérique</w:t>
      </w:r>
      <w:proofErr w:type="spellEnd"/>
      <w:r>
        <w:t xml:space="preserve"> offrira une formation de base pour ceux qui sont les plus concernés par le manque de connaissances, notamment les aînés, les Canadiens à faibles revenus, les peuples autoc</w:t>
      </w:r>
      <w:r>
        <w:t xml:space="preserve">htones et ceux qui vivent dans les communautés du nord et rurales. </w:t>
      </w:r>
    </w:p>
    <w:p w14:paraId="0000000E" w14:textId="77777777" w:rsidR="004D0E07" w:rsidRDefault="00AF739A">
      <w:pPr>
        <w:numPr>
          <w:ilvl w:val="0"/>
          <w:numId w:val="1"/>
        </w:numPr>
        <w:jc w:val="both"/>
      </w:pPr>
      <w:proofErr w:type="spellStart"/>
      <w:r>
        <w:t>AlphaNumérique</w:t>
      </w:r>
      <w:proofErr w:type="spellEnd"/>
      <w:r>
        <w:t xml:space="preserve"> outillera les Canadiens pour qu’ils soient en mesure de faire des choix éclairés quant à la façon et au moment où ils consentent au partage de leurs informations dans le </w:t>
      </w:r>
      <w:r>
        <w:t>monde numérique.</w:t>
      </w:r>
    </w:p>
    <w:p w14:paraId="0000000F" w14:textId="77777777" w:rsidR="004D0E07" w:rsidRDefault="00AF739A">
      <w:pPr>
        <w:numPr>
          <w:ilvl w:val="0"/>
          <w:numId w:val="1"/>
        </w:numPr>
        <w:jc w:val="both"/>
      </w:pPr>
      <w:r>
        <w:t xml:space="preserve">L’apprentissage des habiletés numériques n’est pas accessible à tous, ce qui constitue un enjeu de société majeur. C’est pourquoi </w:t>
      </w:r>
      <w:proofErr w:type="spellStart"/>
      <w:r>
        <w:t>AlphaNumérique</w:t>
      </w:r>
      <w:proofErr w:type="spellEnd"/>
      <w:r>
        <w:t xml:space="preserve"> a aussi pour but de faire du numérique un levier d’insertion social.</w:t>
      </w:r>
    </w:p>
    <w:p w14:paraId="00000010" w14:textId="77777777" w:rsidR="004D0E07" w:rsidRDefault="004D0E07">
      <w:pPr>
        <w:ind w:left="720"/>
        <w:jc w:val="both"/>
      </w:pPr>
    </w:p>
    <w:p w14:paraId="00000011" w14:textId="77777777" w:rsidR="004D0E07" w:rsidRDefault="004D0E07">
      <w:pPr>
        <w:ind w:left="720"/>
        <w:jc w:val="both"/>
      </w:pPr>
    </w:p>
    <w:p w14:paraId="00000012" w14:textId="77777777" w:rsidR="004D0E07" w:rsidRDefault="00AF739A">
      <w:pPr>
        <w:numPr>
          <w:ilvl w:val="0"/>
          <w:numId w:val="1"/>
        </w:numPr>
        <w:jc w:val="both"/>
      </w:pPr>
      <w:proofErr w:type="spellStart"/>
      <w:r>
        <w:t>AlphaNumérique</w:t>
      </w:r>
      <w:proofErr w:type="spellEnd"/>
      <w:r>
        <w:t xml:space="preserve"> appuiera</w:t>
      </w:r>
      <w:r>
        <w:t xml:space="preserve"> et outillera les intervenants en bibliothèque pour leur permettre d’accompagner avec confiance le public dans leurs demandes d’aide à l’utilisation des outils numériques.</w:t>
      </w:r>
    </w:p>
    <w:p w14:paraId="00000013" w14:textId="77777777" w:rsidR="004D0E07" w:rsidRDefault="00AF739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sdt>
        <w:sdtPr>
          <w:tag w:val="goog_rdk_1"/>
          <w:id w:val="1004248808"/>
        </w:sdtPr>
        <w:sdtEndPr/>
        <w:sdtContent/>
      </w:sdt>
      <w:proofErr w:type="spellStart"/>
      <w:r>
        <w:rPr>
          <w:color w:val="000000"/>
        </w:rPr>
        <w:t>AlphaNumérique</w:t>
      </w:r>
      <w:proofErr w:type="spellEnd"/>
      <w:r>
        <w:rPr>
          <w:color w:val="000000"/>
        </w:rPr>
        <w:t xml:space="preserve"> permettra aux citoyens :</w:t>
      </w:r>
    </w:p>
    <w:p w14:paraId="00000014" w14:textId="77777777" w:rsidR="004D0E07" w:rsidRDefault="00AF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D’avoir une plus grande conscience des risques présents en ligne, qu’ils soient personnels, financiers et autres;</w:t>
      </w:r>
    </w:p>
    <w:p w14:paraId="00000016" w14:textId="77777777" w:rsidR="004D0E07" w:rsidRDefault="00AF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</w:rPr>
      </w:pPr>
      <w:r>
        <w:rPr>
          <w:color w:val="000000"/>
        </w:rPr>
        <w:t>D’augmenter leur valeur sur le marché du travail;</w:t>
      </w:r>
    </w:p>
    <w:p w14:paraId="00000017" w14:textId="77777777" w:rsidR="004D0E07" w:rsidRDefault="00AF739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De </w:t>
      </w:r>
      <w:r>
        <w:rPr>
          <w:color w:val="000000"/>
        </w:rPr>
        <w:t>bâtir des liens et une solidarité en ligne avec d’autres utilisateurs et d’éviter l’exclusion sociale.</w:t>
      </w:r>
    </w:p>
    <w:p w14:paraId="00000018" w14:textId="77777777" w:rsidR="004D0E07" w:rsidRDefault="00AF739A">
      <w:pPr>
        <w:rPr>
          <w:b/>
          <w:smallCaps/>
          <w:color w:val="002060"/>
          <w:sz w:val="24"/>
          <w:szCs w:val="24"/>
          <w:u w:val="single"/>
        </w:rPr>
      </w:pPr>
      <w:r>
        <w:rPr>
          <w:b/>
          <w:smallCaps/>
          <w:color w:val="002060"/>
          <w:sz w:val="24"/>
          <w:szCs w:val="24"/>
          <w:u w:val="single"/>
        </w:rPr>
        <w:t>L’IMPORTANCE DE LA LITTÉRATIE NUMÉRIQUE</w:t>
      </w:r>
    </w:p>
    <w:p w14:paraId="00000019" w14:textId="77777777" w:rsidR="004D0E07" w:rsidRDefault="00AF739A">
      <w:pPr>
        <w:numPr>
          <w:ilvl w:val="0"/>
          <w:numId w:val="1"/>
        </w:numPr>
        <w:jc w:val="both"/>
      </w:pPr>
      <w:r>
        <w:t>Les technologies numériques ont transformé nos modes de vie et, pour en tirer leur plein potentiel, il est ind</w:t>
      </w:r>
      <w:r>
        <w:t>ispensable que chacun en possède les connaissances, compétences et comportements essentiels.</w:t>
      </w:r>
    </w:p>
    <w:p w14:paraId="0000001A" w14:textId="77777777" w:rsidR="004D0E07" w:rsidRDefault="00AF739A">
      <w:pPr>
        <w:numPr>
          <w:ilvl w:val="0"/>
          <w:numId w:val="1"/>
        </w:numPr>
        <w:jc w:val="both"/>
      </w:pPr>
      <w:r>
        <w:t>Une population riche en compétences numériques permet des bénéfices sur une grande variété de plans :</w:t>
      </w:r>
    </w:p>
    <w:p w14:paraId="0000001B" w14:textId="77777777" w:rsidR="004D0E07" w:rsidRDefault="00AF739A">
      <w:pPr>
        <w:numPr>
          <w:ilvl w:val="1"/>
          <w:numId w:val="1"/>
        </w:numPr>
        <w:spacing w:after="0"/>
      </w:pPr>
      <w:r>
        <w:t>Économique : favorise les achats en ligne, le troc, le partage, la revente, la capacité de générer des revenus, etc.;</w:t>
      </w:r>
    </w:p>
    <w:p w14:paraId="0000001C" w14:textId="77777777" w:rsidR="004D0E07" w:rsidRDefault="00AF739A">
      <w:pPr>
        <w:numPr>
          <w:ilvl w:val="1"/>
          <w:numId w:val="1"/>
        </w:numPr>
        <w:spacing w:after="0"/>
      </w:pPr>
      <w:r>
        <w:t>Emploi et la formation : améliore le niveau de formation des citoyens et leur productivité, créant ainsi un meilleur accès à l’emploi;</w:t>
      </w:r>
    </w:p>
    <w:p w14:paraId="0000001D" w14:textId="77777777" w:rsidR="004D0E07" w:rsidRDefault="00AF739A">
      <w:pPr>
        <w:numPr>
          <w:ilvl w:val="1"/>
          <w:numId w:val="1"/>
        </w:numPr>
        <w:spacing w:after="0"/>
      </w:pPr>
      <w:r>
        <w:t>Ges</w:t>
      </w:r>
      <w:r>
        <w:t>tion : encourage la transition des organisations vers l’administration en ligne, ce qui réduit les coûts de gestion et les temps de traitements des demandes;</w:t>
      </w:r>
    </w:p>
    <w:p w14:paraId="0000001E" w14:textId="77777777" w:rsidR="004D0E07" w:rsidRDefault="00AF739A">
      <w:pPr>
        <w:numPr>
          <w:ilvl w:val="1"/>
          <w:numId w:val="1"/>
        </w:numPr>
        <w:spacing w:after="0"/>
      </w:pPr>
      <w:r>
        <w:t>Social : donne la possibilité à la population de s’engager activement dans la vie publique et de c</w:t>
      </w:r>
      <w:r>
        <w:t>réer des relations personnelles bénéfiques, favorisant une meilleure qualité de vie.</w:t>
      </w:r>
    </w:p>
    <w:p w14:paraId="0000001F" w14:textId="77777777" w:rsidR="004D0E07" w:rsidRDefault="004D0E07">
      <w:pPr>
        <w:spacing w:after="0"/>
        <w:ind w:left="1440"/>
      </w:pPr>
    </w:p>
    <w:p w14:paraId="00000020" w14:textId="77777777" w:rsidR="004D0E07" w:rsidRDefault="00AF739A">
      <w:pPr>
        <w:numPr>
          <w:ilvl w:val="0"/>
          <w:numId w:val="1"/>
        </w:numPr>
        <w:jc w:val="both"/>
      </w:pPr>
      <w:r>
        <w:t xml:space="preserve">L’acquisition de connaissances et de compétences en littératie numérique donne la possibilité aux citoyens, particulièrement ceux qui se trouvent exclus ou désavantagés </w:t>
      </w:r>
      <w:proofErr w:type="gramStart"/>
      <w:r>
        <w:t>a</w:t>
      </w:r>
      <w:r>
        <w:t>u</w:t>
      </w:r>
      <w:proofErr w:type="gramEnd"/>
      <w:r>
        <w:t xml:space="preserve"> plan social, économique ou géographique, de multiplier leurs chances de participer à l’économie numérique et d’en bénéficier.</w:t>
      </w:r>
    </w:p>
    <w:p w14:paraId="00000021" w14:textId="77777777" w:rsidR="004D0E07" w:rsidRDefault="00AF739A">
      <w:pPr>
        <w:numPr>
          <w:ilvl w:val="0"/>
          <w:numId w:val="1"/>
        </w:numPr>
        <w:jc w:val="both"/>
      </w:pPr>
      <w:r>
        <w:t>Les municipalités offrent de plus en plus leurs services en ligne. L’accompagnement des personnes démunies face aux interfaces n</w:t>
      </w:r>
      <w:r>
        <w:t>umériques complexes devient non seulement nécessaire, mais présente aussi des opportunités intéressantes afin d’accélérer la dématérialisation des démarches administratives au sein de la municipalité.</w:t>
      </w:r>
    </w:p>
    <w:p w14:paraId="00000022" w14:textId="77777777" w:rsidR="004D0E07" w:rsidRDefault="004D0E07">
      <w:pPr>
        <w:spacing w:after="0"/>
        <w:ind w:left="1440"/>
      </w:pPr>
    </w:p>
    <w:p w14:paraId="00000023" w14:textId="77777777" w:rsidR="004D0E07" w:rsidRDefault="004D0E07">
      <w:pPr>
        <w:rPr>
          <w:b/>
          <w:smallCaps/>
          <w:color w:val="002060"/>
          <w:sz w:val="24"/>
          <w:szCs w:val="24"/>
          <w:u w:val="single"/>
        </w:rPr>
      </w:pPr>
    </w:p>
    <w:p w14:paraId="00000024" w14:textId="77777777" w:rsidR="004D0E07" w:rsidRDefault="00AF739A">
      <w:pPr>
        <w:rPr>
          <w:b/>
          <w:smallCaps/>
          <w:color w:val="002060"/>
          <w:sz w:val="24"/>
          <w:szCs w:val="24"/>
          <w:u w:val="single"/>
        </w:rPr>
      </w:pPr>
      <w:r>
        <w:rPr>
          <w:b/>
          <w:smallCaps/>
          <w:color w:val="002060"/>
          <w:sz w:val="24"/>
          <w:szCs w:val="24"/>
          <w:u w:val="single"/>
        </w:rPr>
        <w:t>L’IMPORTANCE ET LE RÔLE DES BIBLIOTHÈQUES</w:t>
      </w:r>
    </w:p>
    <w:p w14:paraId="00000025" w14:textId="77777777" w:rsidR="004D0E07" w:rsidRDefault="00AF739A">
      <w:pPr>
        <w:numPr>
          <w:ilvl w:val="0"/>
          <w:numId w:val="1"/>
        </w:numPr>
        <w:jc w:val="both"/>
      </w:pPr>
      <w:r>
        <w:t>Les bibliot</w:t>
      </w:r>
      <w:r>
        <w:t xml:space="preserve">hèques publiques jouent un rôle majeur en matière d’insertion sociale et de lieux d’apprentissage tout au long de la vie. </w:t>
      </w:r>
    </w:p>
    <w:p w14:paraId="00000026" w14:textId="77777777" w:rsidR="004D0E07" w:rsidRDefault="00AF739A">
      <w:pPr>
        <w:numPr>
          <w:ilvl w:val="0"/>
          <w:numId w:val="1"/>
        </w:numPr>
        <w:jc w:val="both"/>
      </w:pPr>
      <w:r>
        <w:t xml:space="preserve">Les bibliothèques sont des lieux de proximité privilégiés du public qui offrent déjà de nombreuses ressources. </w:t>
      </w:r>
      <w:proofErr w:type="spellStart"/>
      <w:r>
        <w:t>AlphaNumérique</w:t>
      </w:r>
      <w:proofErr w:type="spellEnd"/>
      <w:r>
        <w:t xml:space="preserve"> vient b</w:t>
      </w:r>
      <w:r>
        <w:t>onifier ces ressources en outillant encore mieux les bibliothèques pour les aider à accompagner et enseigner au public les compétences de base en matière de littératie numérique.</w:t>
      </w:r>
    </w:p>
    <w:p w14:paraId="00000027" w14:textId="77777777" w:rsidR="004D0E07" w:rsidRDefault="00AF739A">
      <w:pPr>
        <w:numPr>
          <w:ilvl w:val="0"/>
          <w:numId w:val="1"/>
        </w:numPr>
        <w:jc w:val="both"/>
      </w:pPr>
      <w:r>
        <w:t>Selon une enquête réalisée par le CEFRIO en partenariat avec le ministère des</w:t>
      </w:r>
      <w:r>
        <w:t xml:space="preserve"> Services gouvernementaux et la Société de l’assurance automobile du Québec, plus de la moitié (54 %) des non-internautes pensent qu’un accompagnement spécialisé dans les lieux publics pourrait favoriser leur utilisation d’internet. Les bibliothèques publi</w:t>
      </w:r>
      <w:r>
        <w:t>ques sont des lieux tout indiqués pour remplir ce rôle.</w:t>
      </w:r>
    </w:p>
    <w:sectPr w:rsidR="004D0E07">
      <w:headerReference w:type="default" r:id="rId11"/>
      <w:footerReference w:type="default" r:id="rId12"/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FB391" w14:textId="77777777" w:rsidR="00000000" w:rsidRDefault="00AF739A">
      <w:pPr>
        <w:spacing w:after="0" w:line="240" w:lineRule="auto"/>
      </w:pPr>
      <w:r>
        <w:separator/>
      </w:r>
    </w:p>
  </w:endnote>
  <w:endnote w:type="continuationSeparator" w:id="0">
    <w:p w14:paraId="1F3AE60C" w14:textId="77777777" w:rsidR="00000000" w:rsidRDefault="00AF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9" w14:textId="7F030292" w:rsidR="004D0E07" w:rsidRDefault="00AF73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16523">
      <w:rPr>
        <w:color w:val="000000"/>
      </w:rPr>
      <w:fldChar w:fldCharType="separate"/>
    </w:r>
    <w:r w:rsidR="00E16523">
      <w:rPr>
        <w:noProof/>
        <w:color w:val="000000"/>
      </w:rPr>
      <w:t>1</w:t>
    </w:r>
    <w:r>
      <w:rPr>
        <w:color w:val="000000"/>
      </w:rPr>
      <w:fldChar w:fldCharType="end"/>
    </w:r>
  </w:p>
  <w:p w14:paraId="0000002A" w14:textId="77777777" w:rsidR="004D0E07" w:rsidRDefault="004D0E0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E0370" w14:textId="77777777" w:rsidR="00000000" w:rsidRDefault="00AF739A">
      <w:pPr>
        <w:spacing w:after="0" w:line="240" w:lineRule="auto"/>
      </w:pPr>
      <w:r>
        <w:separator/>
      </w:r>
    </w:p>
  </w:footnote>
  <w:footnote w:type="continuationSeparator" w:id="0">
    <w:p w14:paraId="181A4F0C" w14:textId="77777777" w:rsidR="00000000" w:rsidRDefault="00AF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28" w14:textId="77777777" w:rsidR="004D0E07" w:rsidRDefault="00AF739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6E387663" wp14:editId="07229E24">
          <wp:extent cx="2402180" cy="526033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02180" cy="5260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A6315D"/>
    <w:multiLevelType w:val="multilevel"/>
    <w:tmpl w:val="FD008606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E07"/>
    <w:rsid w:val="004D0E07"/>
    <w:rsid w:val="00AF739A"/>
    <w:rsid w:val="00E1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78F53"/>
  <w15:docId w15:val="{8D762339-4B72-4BA3-A3A9-25A3561A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-tte">
    <w:name w:val="header"/>
    <w:basedOn w:val="Normal"/>
    <w:link w:val="En-tteCar"/>
    <w:uiPriority w:val="99"/>
    <w:unhideWhenUsed/>
    <w:rsid w:val="002E5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FA4"/>
  </w:style>
  <w:style w:type="paragraph" w:styleId="Pieddepage">
    <w:name w:val="footer"/>
    <w:basedOn w:val="Normal"/>
    <w:link w:val="PieddepageCar"/>
    <w:uiPriority w:val="99"/>
    <w:unhideWhenUsed/>
    <w:rsid w:val="002E5F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5FA4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E5FA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E5FA4"/>
    <w:rPr>
      <w:b/>
      <w:bCs/>
      <w:i/>
      <w:iCs/>
      <w:color w:val="4F81BD" w:themeColor="accent1"/>
    </w:rPr>
  </w:style>
  <w:style w:type="paragraph" w:styleId="Paragraphedeliste">
    <w:name w:val="List Paragraph"/>
    <w:basedOn w:val="Normal"/>
    <w:uiPriority w:val="34"/>
    <w:qFormat/>
    <w:rsid w:val="008F7AC3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CE0F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0F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0F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F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F49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F49"/>
    <w:rPr>
      <w:rFonts w:ascii="Segoe UI" w:hAnsi="Segoe UI" w:cs="Segoe UI"/>
      <w:sz w:val="18"/>
      <w:szCs w:val="18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ZVXVURPNNntk3w2JibooPsCPbg==">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4744ABF8220C4BA3EA075235D18F35" ma:contentTypeVersion="11" ma:contentTypeDescription="Create a new document." ma:contentTypeScope="" ma:versionID="54db0fb65c46d41a1992a61b2a8a7d69">
  <xsd:schema xmlns:xsd="http://www.w3.org/2001/XMLSchema" xmlns:xs="http://www.w3.org/2001/XMLSchema" xmlns:p="http://schemas.microsoft.com/office/2006/metadata/properties" xmlns:ns3="29c53973-b22b-4d7f-90ed-bbb74bd679d4" xmlns:ns4="ef9c0ffd-6128-4f6c-8af3-ed25b302398d" targetNamespace="http://schemas.microsoft.com/office/2006/metadata/properties" ma:root="true" ma:fieldsID="bd7d13bea25e809cfc4f08ce50aacaad" ns3:_="" ns4:_="">
    <xsd:import namespace="29c53973-b22b-4d7f-90ed-bbb74bd679d4"/>
    <xsd:import namespace="ef9c0ffd-6128-4f6c-8af3-ed25b30239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c53973-b22b-4d7f-90ed-bbb74bd67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c0ffd-6128-4f6c-8af3-ed25b30239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0DEBD20D-39D3-4DE5-AF2E-CCB9AB143A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c53973-b22b-4d7f-90ed-bbb74bd679d4"/>
    <ds:schemaRef ds:uri="ef9c0ffd-6128-4f6c-8af3-ed25b3023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E0138B-359C-4001-8FFC-3A3D033F37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B017CC-47C9-46B5-BF23-4E1B099590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4027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Saindon-Courtois</dc:creator>
  <cp:lastModifiedBy>Frédérique Gaudin</cp:lastModifiedBy>
  <cp:revision>2</cp:revision>
  <dcterms:created xsi:type="dcterms:W3CDTF">2020-04-15T20:01:00Z</dcterms:created>
  <dcterms:modified xsi:type="dcterms:W3CDTF">2020-04-15T20:01:00Z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0x0101008F4744ABF8220C4BA3EA075235D18F35</vt:lpwstr>
  </property>
</Properties>
</file>